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2009/421 vom 15. Dezember 2011</w:t>
      </w:r>
    </w:p>
    <w:p>
      <w:r>
        <w:t>Sg Versicherungsgericht, 2011-12-15, DE</w:t>
      </w:r>
    </w:p>
    <w:p>
      <w:r>
        <w:rPr>
          <w:b/>
        </w:rPr>
        <w:t xml:space="preserve">Quelle: </w:t>
      </w:r>
      <w:r>
        <w:t>https://mcp.opencaselaw.ch/entscheid/sg_publikationen_IV 2009_421</w:t>
      </w:r>
    </w:p>
    <w:p>
      <w:r>
        <w:t>FR: SG_VERSICHERUNGSGERICHT IV 2009/421 du 15 décembre 2011</w:t>
      </w:r>
    </w:p>
    <w:p>
      <w:r>
        <w:t>IT: SG_VERSICHERUNGSGERICHT IV 2009/421 del 15 dicembre 2011</w:t>
      </w:r>
    </w:p>
    <w:p>
      <w:pPr>
        <w:pStyle w:val="Heading2"/>
      </w:pPr>
      <w:r>
        <w:t>Regeste</w:t>
      </w:r>
    </w:p>
    <w:p>
      <w:r>
        <w:t>Art. 43 ATSG. Würdigung eines medizinischen Gutachtens. (Entscheid des Versicherungsgerichts des Kantons St. Gallen vom 15. Dezember 2011, IV 2009/421).</w:t>
      </w:r>
    </w:p>
    <w:p>
      <w:pPr>
        <w:pStyle w:val="Heading2"/>
      </w:pPr>
      <w:r>
        <w:t>Erwägungen</w:t>
      </w:r>
    </w:p>
    <w:p>
      <w:r>
        <w:rPr>
          <w:b/>
        </w:rPr>
        <w:t>E. 1</w:t>
      </w:r>
    </w:p>
    <w:p>
      <w:r>
        <w:t>Gemäss Art. 61 lit. c des Bundesgesetzes über den Allgemeinen Teil des Sozialversicherungsrechts (ATSG; SR 830.1) ist das Versicherungsgericht in der Beweiswürdigung frei. Es hat mithin bei der Würdigung der erhobenen Beweise nicht bestimmten förmlichen Regeln zu folgen, sondern sämtliche Beweismittel objektiv zu prüfen, namentlich ungeachtet ihrer Herkunft (Ueli Kieser, ATSG-Kommentar, 2. Aufl., Zürich 2009, Art. 61 N 72). Die erheblichen Tatsachen müssen dabei in der Regel nicht zum vollen Beweis erstellt werden, da im Sozialversicherungsrecht in der Regel lediglich der Beweisgrad der überwiegenden Wahrscheinlichkeit gefordert wird (BGE 119 V 7). Das bedeutet, dass jener Sachverhaltsdarstellung zu folgen ist, die von allen möglichen Geschehensabläufen als die wahrscheinlichste gewürdigt wird.</w:t>
      </w:r>
    </w:p>
    <w:p>
      <w:r>
        <w:rPr>
          <w:b/>
        </w:rPr>
        <w:t>E. 2</w:t>
      </w:r>
    </w:p>
    <w:p>
      <w:r>
        <w:t>Vorliegend fällt auf, dass anlässlich der polydisziplinären Begutachtung durch die MEDAS Zentralschweiz kein gastroenterologisches Consiliargutachten erstellt wurde, obwohl in den Akten offensichtlich erhebliche gastroenterologische Beschwerden aus­gewiesen sind: Vom 1. Februar bis 8. März 2007 wurde der Beschwerdeführer im Spital Grabs hauptsächlich wegen Exacerbation einer chronischen Diarrhoe stationär be­handelt, ohne dass die Beschwerden massgeblich gelindert oder eine Ursache der­selben gefunden werden konnte, weshalb der Beschwerdeführer ins Kantonsspital St. Gallen überwiesen wurde (IV-act. 11–19 ff.), wo zwar eine Normalisierung des Stuhlgangs bewirkt, aber keine Ursache für die chronische Diarrhoe gefunden werden konnte (IV-act. 11–5 ff.); Dr. C.___ hielt in seinem EFL-Bericht vom 16. August 2007 fest, dass die Ergebnisse der damals geplanten Abklärungen bezüglich der Diarrhoe die Zumutbarkeitsbeurteilung beeinflussen könnten (act. G 4.2); eine stationäre Behandlung in der Klinik Gais musste im Oktober/November 2007 gar aufgrund der Diarrhoe unterbrochen und der Beschwerdeführer für zwei Wochen in die Gastroente­rologie des Kantonsspitals St. Gallen überwiesen werden (IV-act. 44–18 ff. und 55). Wiewohl vielfältige Abklärungen bezüglich der chronischen Diarrhoe durchgeführt wurden, äusserte sich gemäss Aktenlage bislang kein Gastroenterologe zu deren all­fälligen Auswirkungen auf die Arbeitsfähigkeit. Daraus kann freilich nicht gefolgert werden, die Diarrhoe wirke sich nicht auf die Arbeitsfähigkeit aus, ist doch durchaus denkbar, dass der Beschwerdeführer etwa auf zusätzliche Pausen angewiesen ist, weil er häufiger und eventuell – klare Aussagen dazu fehlen in den Akten – jeweils eilig die Toilette aufsuchen muss, oder dass er durch die Diarrhoe geschwächt ist und keine volle Leistung erbringen kann. Auch Dr. C.___ ging, wie erwähnt, davon aus, dass sich die Diarrhoe allenfalls auf die Arbeitsfähigkeit auswirken könnte. Da im Rahmen der Begutachtung durch die MEDAS Zentralschweiz keine gastroenterologische Unter­suchung erfolgte und es der begutachtende Internist sich nicht zu allfälligen qualitativen oder quantitativen Auswirkungen der Diarrhoe auf die Arbeitsfähigkeit äusserte, erweist sich der Sachverhalt diesbezüglich als nicht genügend abgeklärt. Eine zuverlässige Bemessung des Invaliditätsgrades ist angesichts der Unsicherheit bezüglich allfälliger Auswirkungen der chronischen Diarrhoe auf die Arbeitsfähigkeit nicht möglich.</w:t>
      </w:r>
    </w:p>
    <w:p>
      <w:r>
        <w:rPr>
          <w:b/>
        </w:rPr>
        <w:t>E. 3</w:t>
      </w:r>
    </w:p>
    <w:p>
      <w:r>
        <w:t>Abgesehen davon vermag das Gutachten der MEDAS Zentralschweiz zu überzeugen. Die Gutachter berücksichtigten in somatischer Hinsicht sämtliche der in den Akten aus­gewiesenen und geklagten Beschwerden und begründeten in nachvollziehbarer Weise, inwiefern sich diese auf die Arbeitsfähigkeit auswirken würden. Zwar wies Dr. E.___ in ihrem späteren Bericht vom 3. Februar 2009 darauf hin, dass insbesondere aufgrund der Niereninsuffizienz eine ausreichende medikamentöse Behandlung der Polyarthritis nicht möglich sei, doch ist nicht nachvollziehbar, dass aufgrund der in diesem Bericht beschriebenen Schwellungen in den Metacarpophalangealgelenken II und III beidseits vollständige Arbeitsunfähigkeit bestehen soll. Überdies stellten die Gutachter der MEDAS Zentralschweiz weder eine wesentliche Schwellung in den genannten Gelenken noch eine relevante Aktivität der Polyarthritis fest. Gesamthaft vermag der Bericht von Dr. E.___ vom 3. Februar 2009 daher keine Zweifel an der Zuverlässigkeit der Be­urteilung der MEDAS-Gutachter zu wecken. Was die übrigen fachärztlichen Berichte betreffend somatische Beschwerden betrifft, so sind keine Widersprüche ersichtlich. In psychiatrischer Hinsicht besteht grundsätzlich Übereinstimmung zwischen der Be­urteilung des Consiliargutachters der MEDAS Zentralschweiz und dem behandelnden Facharzt der Klinik Gais, namentlich, nachdem der MEDAS-Gutachter die vom be­handelnden Facharzt gestellte (aktuellere) Diagnose bestätigt hat (vgl. IV-act. 83 und 94). Aus der Diagnose der iatrogenen Opiatabhängigkeit vermag der Beschwerdeführer sodann nichts zu seinen Gunsten abzuleiten, wollte der MEDAS-Gutachter damit doch einzig zum Ausdruck bringen, dass die Opiate verordnet und kontrolliert abgegeben worden sind (vgl. IV-act. 94). Selbstverständlich rechtfertigt es diese Aussage für sich allein nicht, den Beweiswert des MEDAS-Gutachtens anzuzweifeln. Was die unter­schiedliche Arbeitsfähigkeitsschätzung aus psychiatrischer Sicht betrifft, so hat der MEDAS-Gutachter überzeugend und nachvollziehbar dargelegt, weshalb aus seiner Sicht keine quantitative Beeinträchtigung zu attestieren ist. Auch aus den übrigen Akten geht mehrheitlich hervor, dass es sich bei den depressiven Verstimmungszuständen offensichtlich vorwiegend um eine (nachvollziehbare) psychische Reaktion auf die viel­fältigen somatischen Beschwerden und Schmerzen handelt. Gesamthaft besteht des­halb kein Grund, von den Einschätzungen der MEDAS-Gutachter abzuweichen.</w:t>
      </w:r>
    </w:p>
    <w:p>
      <w:r>
        <w:rPr>
          <w:b/>
        </w:rPr>
        <w:t>E. 4</w:t>
      </w:r>
    </w:p>
    <w:p>
      <w:r>
        <w:t>Gesamthaft rechtfertigt sich daher die Einholung eines neuen Gutachtens bzw. eines Obergutachtens, wie der Beschwerdeführer beantragen liess, nicht. Vielmehr ist grund­sätzlich auf das Gutachten der MEDAS Zentralschweiz abzustellen und ergänzend ab­zuklären, ob und allenfalls inwiefern (qualitativ und quantitativ) sich die chronische Diarrhoe auf die Arbeitsfähigkeit des Beschwerdeführers auswirkt. Da es sich dabei um eine spezifische, bislang nicht geklärte Frage handelt, rechtfertigt sich die Rückweisung hierfür an die Beschwerdegegnerin (vgl. BGE 137 V 210 E. 4.4.1.4 S. 264 f.). Demnach ist die angefochtene Verfügung vom 9. Oktober 2009 in teilweiser Gutheissung der Beschwerde aufzuheben und die Sache zur Vornahme weiterer Abklärungen im Sinne der Erwägungen und anschliessender Neuverfügung an die Beschwerdegegnerin zurückzuweisen. Die Rückweisung gilt praxisgemäss hinsichtlich Kosten- und Ent­schädigungsfolgen als volles Obsiegen der Beschwerde führenden Partei. Aus diesem Grund sind die gemäss Art. 69 Abs. 1 bis des Bundesgesetzes über die Invaliden­versicherung (IVG; SR 831.20) zu erhebenden und angesichts des durchschnittlichen Aufwands auf Fr. 600.-- festzusetzenden Gerichtskosten der Beschwerdegegnerin auf­zuerlegen. Dem Beschwerdeführer wird der von ihm geleistete Kostenvorschuss in gleicher Höhe zurückerstattet. Sodann ist die Beschwerdegegnerin zu verpflichten, dem Beschwerdeführer gemäss Art. 61 lit. g ATSG eine pauschale Parteientschädigung von Fr. 3’500.-- (einschliesslich Barauslagen und Mehrwertsteuer) auszurichten. Demgemäss hat das Versicherungsgericht entschieden: 1.       In teilweiser Gutheissung der Beschwerde wird die Verfügung vom 9. Oktober 2009 aufgehoben und die Sache zu weiteren Abklärungen im Sinne der Erwägungen und anschliessender Neuverfügung an die Beschwerdegegnerin zurückgewiesen. 2.       Die Beschwerdegegnerin hat die Gerichtskosten von Fr. 600.-- zu bezahlen. Dem Beschwerdeführer wird der von ihm geleistete Kostenvorschuss in gleicher Höhe zurückerstattet. 3.       Die Beschwerdegegnerin hat den Beschwerdeführer mit Fr. 3’500.--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